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eastAsia"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w:t>
      </w:r>
    </w:p>
    <w:p>
      <w:pPr>
        <w:autoSpaceDE w:val="0"/>
        <w:autoSpaceDN w:val="0"/>
        <w:spacing w:line="360" w:lineRule="auto"/>
        <w:jc w:val="center"/>
        <w:rPr>
          <w:rFonts w:hint="default" w:ascii="宋体" w:eastAsia="宋体"/>
          <w:b/>
          <w:color w:val="auto"/>
          <w:sz w:val="44"/>
          <w:highlight w:val="none"/>
          <w:lang w:val="en-US" w:eastAsia="zh-CN"/>
        </w:rPr>
      </w:pPr>
      <w:r>
        <w:rPr>
          <w:rFonts w:hint="eastAsia" w:ascii="宋体"/>
          <w:b/>
          <w:color w:val="auto"/>
          <w:sz w:val="44"/>
          <w:highlight w:val="none"/>
          <w:lang w:val="en-US" w:eastAsia="zh-CN"/>
        </w:rPr>
        <w:t>CMA、CATL资质认证项目</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rPr>
        <w:t>年</w:t>
      </w:r>
      <w:r>
        <w:rPr>
          <w:rFonts w:hint="eastAsia"/>
          <w:b/>
          <w:sz w:val="32"/>
          <w:szCs w:val="32"/>
          <w:highlight w:val="none"/>
          <w:lang w:val="en-US" w:eastAsia="zh-CN"/>
        </w:rPr>
        <w:t>10</w:t>
      </w:r>
      <w:r>
        <w:rPr>
          <w:rFonts w:hint="eastAsia"/>
          <w:b/>
          <w:sz w:val="32"/>
          <w:szCs w:val="32"/>
          <w:highlight w:val="none"/>
        </w:rPr>
        <w:t>月</w:t>
      </w:r>
      <w:r>
        <w:rPr>
          <w:rFonts w:hint="eastAsia"/>
          <w:b/>
          <w:sz w:val="32"/>
          <w:szCs w:val="32"/>
          <w:highlight w:val="none"/>
          <w:lang w:val="en-US" w:eastAsia="zh-CN"/>
        </w:rPr>
        <w:t>12</w:t>
      </w:r>
      <w:r>
        <w:rPr>
          <w:rFonts w:hint="eastAsia"/>
          <w:b/>
          <w:sz w:val="32"/>
          <w:szCs w:val="32"/>
          <w:highlight w:val="none"/>
        </w:rPr>
        <w:t>日</w:t>
      </w:r>
    </w:p>
    <w:p>
      <w:pPr>
        <w:pStyle w:val="4"/>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拟开</w:t>
      </w:r>
      <w:r>
        <w:rPr>
          <w:rFonts w:hint="eastAsia" w:ascii="仿宋" w:hAnsi="仿宋" w:eastAsia="仿宋" w:cs="仿宋"/>
          <w:bCs/>
          <w:color w:val="auto"/>
          <w:sz w:val="24"/>
          <w:szCs w:val="24"/>
          <w:highlight w:val="none"/>
          <w:lang w:val="en-US" w:eastAsia="zh-CN"/>
        </w:rPr>
        <w:t>展CMA、CATL资质认证项目，现</w:t>
      </w:r>
      <w:r>
        <w:rPr>
          <w:rFonts w:hint="eastAsia" w:ascii="仿宋" w:hAnsi="仿宋" w:eastAsia="仿宋" w:cs="仿宋"/>
          <w:bCs/>
          <w:color w:val="auto"/>
          <w:sz w:val="24"/>
          <w:szCs w:val="24"/>
          <w:highlight w:val="none"/>
          <w:lang w:eastAsia="zh-CN"/>
        </w:rPr>
        <w:t>通过择优竞价方式选定符合要求的</w:t>
      </w:r>
      <w:r>
        <w:rPr>
          <w:rFonts w:hint="eastAsia" w:ascii="仿宋" w:hAnsi="仿宋" w:eastAsia="仿宋" w:cs="仿宋"/>
          <w:bCs/>
          <w:color w:val="auto"/>
          <w:sz w:val="24"/>
          <w:szCs w:val="24"/>
          <w:highlight w:val="none"/>
          <w:lang w:val="en-US" w:eastAsia="zh-CN"/>
        </w:rPr>
        <w:t>咨询服务供应商</w:t>
      </w:r>
      <w:r>
        <w:rPr>
          <w:rFonts w:hint="eastAsia" w:ascii="仿宋" w:hAnsi="仿宋" w:eastAsia="仿宋" w:cs="仿宋"/>
          <w:bCs/>
          <w:color w:val="auto"/>
          <w:sz w:val="24"/>
          <w:szCs w:val="24"/>
          <w:highlight w:val="none"/>
        </w:rPr>
        <w:t>。请符合以下资格条件的单位按要</w:t>
      </w:r>
      <w:r>
        <w:rPr>
          <w:rFonts w:hint="eastAsia" w:ascii="仿宋" w:hAnsi="仿宋" w:eastAsia="仿宋" w:cs="仿宋"/>
          <w:bCs/>
          <w:sz w:val="24"/>
          <w:szCs w:val="24"/>
          <w:highlight w:val="none"/>
        </w:rPr>
        <w:t>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咨询服务相关资质。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hint="eastAsia"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地址</w:t>
      </w:r>
      <w:r>
        <w:rPr>
          <w:rFonts w:hint="eastAsia" w:ascii="仿宋" w:hAnsi="仿宋" w:eastAsia="仿宋" w:cs="仿宋_GB2312"/>
          <w:color w:val="000000"/>
          <w:kern w:val="0"/>
          <w:sz w:val="24"/>
          <w:szCs w:val="24"/>
          <w:highlight w:val="none"/>
        </w:rPr>
        <w:t>：佛山南海区桂城街道夏北社区一环路定侧夏北扇面产业中心A区三楼。</w:t>
      </w:r>
    </w:p>
    <w:p>
      <w:pPr>
        <w:adjustRightInd w:val="0"/>
        <w:snapToGrid w:val="0"/>
        <w:spacing w:line="560" w:lineRule="exact"/>
        <w:ind w:left="185" w:leftChars="88"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2、详细需求如下：</w:t>
      </w:r>
    </w:p>
    <w:p>
      <w:pPr>
        <w:pStyle w:val="3"/>
        <w:spacing w:line="360" w:lineRule="auto"/>
        <w:ind w:firstLine="480" w:firstLineChars="200"/>
        <w:rPr>
          <w:rFonts w:hint="default"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lang w:val="en-US" w:eastAsia="zh-CN" w:bidi="ar-SA"/>
        </w:rPr>
        <w:t>广东芯海医学检测实验室有限公司计划2024</w:t>
      </w:r>
      <w:bookmarkStart w:id="1" w:name="_GoBack"/>
      <w:bookmarkEnd w:id="1"/>
      <w:r>
        <w:rPr>
          <w:rFonts w:hint="eastAsia" w:ascii="仿宋" w:hAnsi="仿宋" w:eastAsia="仿宋" w:cs="仿宋_GB2312"/>
          <w:color w:val="auto"/>
          <w:kern w:val="0"/>
          <w:sz w:val="24"/>
          <w:szCs w:val="24"/>
          <w:highlight w:val="none"/>
          <w:lang w:val="en-US" w:eastAsia="zh-CN" w:bidi="ar-SA"/>
        </w:rPr>
        <w:t>年3月完成中药材中的黄曲霉毒素B1、B2、G1和G2的测定、化妆品中氧化可的松和地塞米松残留量的测定、玉米粉中黄曲霉毒素B1的测定、鸡肉中氯霉素的测定、鱼肉中孔雀石绿的测定、畜禽肉中金刚烷胺和金刚乙胺的测定；农药残留【土霉素、氯丙嗪、金霉素、四环素、多西环素（强力霉素）、二甲戊灵、尼卡巴嗪、4-氯苯氧乙酸钠、6-苄基腺嘌呤、甲拌磷】等项目的资质认证。</w:t>
      </w:r>
    </w:p>
    <w:p>
      <w:pPr>
        <w:pStyle w:val="3"/>
        <w:spacing w:line="360" w:lineRule="auto"/>
        <w:ind w:firstLine="480" w:firstLineChars="200"/>
        <w:rPr>
          <w:rFonts w:hint="eastAsia"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lang w:val="en-US" w:eastAsia="zh-CN" w:bidi="ar-SA"/>
        </w:rPr>
        <w:t>咨询方应以此为要点指导实验室完成认可工作。制定相应的工作方案，指导并协助完成每个阶段的具体工作，确保实验室每个专业组知晓工作内容，并按计划的进度及时推进每项具体工作，包括指导、协助实验室完成组织结构策划、人员培训、资质确认和文件编制工作，指导实验室完成设备的校准、检测系统性能验证工作，组织试运行、内审、管理评审，组织相关专家进行预评审和通过CMA、CATL现场评审并获取证书。</w:t>
      </w:r>
    </w:p>
    <w:p>
      <w:pPr>
        <w:rPr>
          <w:rFonts w:hint="default"/>
          <w:highlight w:val="yellow"/>
          <w:lang w:val="en-US" w:eastAsia="zh-CN"/>
        </w:rPr>
      </w:pPr>
      <w:r>
        <w:rPr>
          <w:rFonts w:hint="eastAsia" w:ascii="仿宋" w:hAnsi="仿宋" w:eastAsia="仿宋" w:cs="仿宋_GB2312"/>
          <w:color w:val="auto"/>
          <w:kern w:val="0"/>
          <w:sz w:val="24"/>
          <w:szCs w:val="24"/>
          <w:highlight w:val="none"/>
          <w:lang w:val="en-US" w:eastAsia="zh-CN" w:bidi="ar-SA"/>
        </w:rPr>
        <w:t xml:space="preserve">    要求资质不通过全额退款。</w:t>
      </w:r>
    </w:p>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rPr>
        <w:t>3、本</w:t>
      </w:r>
      <w:r>
        <w:rPr>
          <w:rFonts w:hint="eastAsia" w:ascii="仿宋" w:hAnsi="仿宋" w:eastAsia="仿宋" w:cs="仿宋_GB2312"/>
          <w:color w:val="000000"/>
          <w:kern w:val="0"/>
          <w:sz w:val="24"/>
          <w:szCs w:val="24"/>
          <w:highlight w:val="none"/>
          <w:lang w:val="en-US" w:eastAsia="zh-CN"/>
        </w:rPr>
        <w:t>项目</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000000"/>
          <w:kern w:val="0"/>
          <w:sz w:val="24"/>
          <w:szCs w:val="24"/>
          <w:highlight w:val="none"/>
          <w:u w:val="single"/>
          <w:lang w:val="en-US" w:eastAsia="zh-CN"/>
        </w:rPr>
        <w:t xml:space="preserve">  9.8   </w:t>
      </w:r>
      <w:r>
        <w:rPr>
          <w:rFonts w:hint="eastAsia" w:ascii="仿宋" w:hAnsi="仿宋" w:eastAsia="仿宋" w:cs="仿宋_GB2312"/>
          <w:color w:val="000000"/>
          <w:kern w:val="0"/>
          <w:sz w:val="24"/>
          <w:szCs w:val="24"/>
          <w:highlight w:val="none"/>
        </w:rPr>
        <w:t>万元</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人民币大写：</w:t>
      </w:r>
      <w:r>
        <w:rPr>
          <w:rFonts w:hint="eastAsia" w:ascii="仿宋" w:hAnsi="仿宋" w:eastAsia="仿宋" w:cs="仿宋_GB2312"/>
          <w:color w:val="000000"/>
          <w:kern w:val="0"/>
          <w:sz w:val="24"/>
          <w:szCs w:val="24"/>
          <w:highlight w:val="none"/>
          <w:u w:val="single"/>
          <w:lang w:val="en-US" w:eastAsia="zh-CN"/>
        </w:rPr>
        <w:t xml:space="preserve">玖万捌仟圆整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720" w:firstLineChars="300"/>
        <w:rPr>
          <w:rFonts w:hint="eastAsia"/>
        </w:rPr>
      </w:pPr>
      <w:r>
        <w:rPr>
          <w:rFonts w:hint="eastAsia" w:ascii="仿宋" w:hAnsi="仿宋" w:eastAsia="仿宋" w:cs="仿宋_GB2312"/>
          <w:color w:val="000000"/>
          <w:kern w:val="0"/>
          <w:sz w:val="24"/>
          <w:szCs w:val="24"/>
          <w:highlight w:val="none"/>
        </w:rPr>
        <w:t>4、资金来源：自筹资金。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000000"/>
          <w:kern w:val="0"/>
          <w:sz w:val="24"/>
          <w:szCs w:val="24"/>
          <w:highlight w:val="none"/>
          <w:lang w:val="en-US" w:eastAsia="zh-CN"/>
        </w:rPr>
        <w:t>具体服务</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购销合同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eastAsia" w:ascii="仿宋" w:hAnsi="仿宋" w:eastAsia="仿宋" w:cs="仿宋"/>
          <w:color w:val="000000"/>
          <w:kern w:val="0"/>
          <w:sz w:val="24"/>
          <w:szCs w:val="24"/>
          <w:highlight w:val="none"/>
          <w:lang w:val="en-US" w:eastAsia="zh-CN"/>
        </w:rPr>
      </w:pPr>
      <w:r>
        <w:rPr>
          <w:rFonts w:ascii="仿宋" w:hAnsi="仿宋" w:eastAsia="仿宋" w:cs="仿宋"/>
          <w:i w:val="0"/>
          <w:iCs w:val="0"/>
          <w:caps w:val="0"/>
          <w:color w:val="000000"/>
          <w:spacing w:val="0"/>
          <w:sz w:val="24"/>
          <w:szCs w:val="24"/>
          <w:shd w:val="clear" w:fill="FFFFFF"/>
        </w:rPr>
        <w:t>1、营业执照、资质证书复印件（加盖公司章）；</w:t>
      </w:r>
    </w:p>
    <w:p>
      <w:pPr>
        <w:numPr>
          <w:ilvl w:val="0"/>
          <w:numId w:val="0"/>
        </w:numPr>
        <w:autoSpaceDE w:val="0"/>
        <w:autoSpaceDN w:val="0"/>
        <w:snapToGrid w:val="0"/>
        <w:spacing w:line="360" w:lineRule="auto"/>
        <w:ind w:leftChars="0" w:firstLine="480" w:firstLineChars="200"/>
        <w:rPr>
          <w:rFonts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ascii="仿宋" w:hAnsi="仿宋" w:eastAsia="仿宋" w:cs="仿宋"/>
          <w:i w:val="0"/>
          <w:iCs w:val="0"/>
          <w:caps w:val="0"/>
          <w:color w:val="000000"/>
          <w:spacing w:val="0"/>
          <w:sz w:val="24"/>
          <w:szCs w:val="24"/>
          <w:shd w:val="clear" w:fill="FFFFFF"/>
        </w:rPr>
        <w:t>、法人证明书及授权委托书（原件），法人身份证和授权人身份证复印件（加盖公司章）；</w:t>
      </w:r>
    </w:p>
    <w:p>
      <w:pPr>
        <w:numPr>
          <w:ilvl w:val="0"/>
          <w:numId w:val="0"/>
        </w:numPr>
        <w:autoSpaceDE w:val="0"/>
        <w:autoSpaceDN w:val="0"/>
        <w:snapToGrid w:val="0"/>
        <w:spacing w:line="360" w:lineRule="auto"/>
        <w:ind w:leftChars="0" w:firstLine="480" w:firstLineChars="200"/>
        <w:rPr>
          <w:rFonts w:hint="eastAsia"/>
          <w:lang w:val="en-US" w:eastAsia="zh-CN"/>
        </w:rPr>
      </w:pPr>
      <w:r>
        <w:rPr>
          <w:rFonts w:hint="eastAsia" w:ascii="仿宋" w:hAnsi="仿宋" w:eastAsia="仿宋" w:cs="仿宋_GB2312"/>
          <w:color w:val="000000"/>
          <w:kern w:val="0"/>
          <w:sz w:val="24"/>
          <w:szCs w:val="24"/>
          <w:highlight w:val="none"/>
          <w:lang w:val="en-US" w:eastAsia="zh-CN"/>
        </w:rPr>
        <w:t>3、附件一：报价书（盖章）；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4、竞价人认为其它有必要提供的材料。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服务费总价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10</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18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00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fldChar w:fldCharType="begin"/>
      </w:r>
      <w:r>
        <w:rPr>
          <w:rFonts w:hint="eastAsia" w:ascii="仿宋" w:hAnsi="仿宋" w:eastAsia="仿宋" w:cs="仿宋"/>
          <w:sz w:val="24"/>
          <w:szCs w:val="24"/>
          <w:highlight w:val="none"/>
          <w:u w:val="single"/>
          <w:lang w:eastAsia="zh-CN"/>
        </w:rPr>
        <w:instrText xml:space="preserve"> HYPERLINK "mailto:caigoubu@gdxhyj.com" </w:instrText>
      </w:r>
      <w:r>
        <w:rPr>
          <w:rFonts w:hint="eastAsia" w:ascii="仿宋" w:hAnsi="仿宋" w:eastAsia="仿宋" w:cs="仿宋"/>
          <w:sz w:val="24"/>
          <w:szCs w:val="24"/>
          <w:highlight w:val="none"/>
          <w:u w:val="single"/>
          <w:lang w:eastAsia="zh-CN"/>
        </w:rPr>
        <w:fldChar w:fldCharType="separate"/>
      </w:r>
      <w:r>
        <w:rPr>
          <w:rFonts w:hint="eastAsia" w:ascii="仿宋" w:hAnsi="仿宋" w:eastAsia="仿宋" w:cs="仿宋"/>
          <w:sz w:val="24"/>
          <w:szCs w:val="24"/>
          <w:highlight w:val="none"/>
          <w:u w:val="single"/>
          <w:lang w:eastAsia="zh-CN"/>
        </w:rPr>
        <w:t>caigoubu@gdxhyj.com</w:t>
      </w:r>
      <w:r>
        <w:rPr>
          <w:rFonts w:hint="eastAsia" w:ascii="仿宋" w:hAnsi="仿宋" w:eastAsia="仿宋" w:cs="仿宋"/>
          <w:sz w:val="24"/>
          <w:szCs w:val="24"/>
          <w:highlight w:val="none"/>
          <w:u w:val="single"/>
          <w:lang w:eastAsia="zh-CN"/>
        </w:rPr>
        <w:fldChar w:fldCharType="end"/>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采购部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0757-63857910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color w:val="000000"/>
          <w:kern w:val="0"/>
          <w:sz w:val="32"/>
          <w:szCs w:val="32"/>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日  </w:t>
      </w:r>
    </w:p>
    <w:p>
      <w:pPr>
        <w:widowControl/>
        <w:jc w:val="left"/>
        <w:rPr>
          <w:rFonts w:hint="eastAsia" w:ascii="仿宋" w:hAnsi="仿宋" w:eastAsia="仿宋" w:cs="仿宋"/>
          <w:color w:val="000000"/>
          <w:kern w:val="0"/>
          <w:sz w:val="32"/>
          <w:szCs w:val="32"/>
          <w:highlight w:val="none"/>
        </w:rPr>
      </w:pPr>
    </w:p>
    <w:p>
      <w:pPr>
        <w:widowControl/>
        <w:jc w:val="left"/>
        <w:rPr>
          <w:rFonts w:hint="eastAsia" w:ascii="仿宋" w:hAnsi="仿宋" w:eastAsia="仿宋" w:cs="仿宋"/>
          <w:color w:val="000000"/>
          <w:kern w:val="0"/>
          <w:sz w:val="32"/>
          <w:szCs w:val="32"/>
          <w:highlight w:val="none"/>
        </w:rPr>
      </w:pPr>
    </w:p>
    <w:p>
      <w:pPr>
        <w:pStyle w:val="2"/>
        <w:rPr>
          <w:rFonts w:hint="eastAsia" w:ascii="仿宋" w:hAnsi="仿宋" w:eastAsia="仿宋" w:cs="仿宋"/>
          <w:color w:val="000000"/>
          <w:kern w:val="0"/>
          <w:sz w:val="32"/>
          <w:szCs w:val="32"/>
          <w:highlight w:val="none"/>
        </w:rPr>
      </w:pPr>
    </w:p>
    <w:p>
      <w:pPr>
        <w:pStyle w:val="3"/>
        <w:rPr>
          <w:rFonts w:hint="eastAsia" w:ascii="仿宋" w:hAnsi="仿宋" w:eastAsia="仿宋" w:cs="仿宋"/>
          <w:color w:val="000000"/>
          <w:kern w:val="0"/>
          <w:sz w:val="32"/>
          <w:szCs w:val="32"/>
          <w:highlight w:val="none"/>
        </w:rPr>
      </w:pPr>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4"/>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根据贵司《广东芯海医学检测实验室</w:t>
      </w:r>
      <w:r>
        <w:rPr>
          <w:rFonts w:hint="eastAsia" w:ascii="仿宋" w:hAnsi="仿宋" w:eastAsia="仿宋" w:cs="仿宋"/>
          <w:color w:val="auto"/>
          <w:kern w:val="0"/>
          <w:sz w:val="32"/>
          <w:szCs w:val="32"/>
          <w:highlight w:val="none"/>
          <w:lang w:val="en-US" w:eastAsia="zh-CN"/>
        </w:rPr>
        <w:t>CMA、CATL资质认证项目择优竞价邀请函》要求，现我司报价如下</w:t>
      </w:r>
      <w:r>
        <w:rPr>
          <w:rFonts w:hint="eastAsia" w:ascii="仿宋" w:hAnsi="仿宋" w:eastAsia="仿宋" w:cs="仿宋"/>
          <w:color w:val="000000"/>
          <w:kern w:val="0"/>
          <w:sz w:val="32"/>
          <w:szCs w:val="32"/>
          <w:highlight w:val="none"/>
          <w:lang w:val="en-US" w:eastAsia="zh-CN"/>
        </w:rPr>
        <w:t>：</w:t>
      </w:r>
    </w:p>
    <w:tbl>
      <w:tblPr>
        <w:tblStyle w:val="9"/>
        <w:tblpPr w:leftFromText="180" w:rightFromText="180" w:vertAnchor="text" w:horzAnchor="page" w:tblpXSpec="center" w:tblpY="342"/>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926" w:type="dxa"/>
            <w:vAlign w:val="center"/>
          </w:tcPr>
          <w:p>
            <w:pPr>
              <w:spacing w:line="480" w:lineRule="exact"/>
              <w:rPr>
                <w:rFonts w:hint="eastAsia" w:ascii="宋体" w:hAnsi="宋体" w:eastAsia="宋体" w:cs="宋体"/>
                <w:b w:val="0"/>
                <w:bCs/>
                <w:color w:val="auto"/>
                <w:sz w:val="24"/>
                <w:szCs w:val="24"/>
                <w:highlight w:val="none"/>
              </w:rPr>
            </w:pPr>
          </w:p>
        </w:tc>
        <w:tc>
          <w:tcPr>
            <w:tcW w:w="7097" w:type="dxa"/>
            <w:vAlign w:val="center"/>
          </w:tcPr>
          <w:p>
            <w:pPr>
              <w:spacing w:line="48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价格及费用明细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926" w:type="dxa"/>
            <w:vAlign w:val="center"/>
          </w:tcPr>
          <w:p>
            <w:pPr>
              <w:spacing w:line="48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咨询费用</w:t>
            </w:r>
          </w:p>
          <w:p>
            <w:pPr>
              <w:pStyle w:val="2"/>
              <w:rPr>
                <w:rFonts w:hint="eastAsia"/>
                <w:lang w:val="en-US" w:eastAsia="zh-CN"/>
              </w:rPr>
            </w:pPr>
          </w:p>
        </w:tc>
        <w:tc>
          <w:tcPr>
            <w:tcW w:w="7097" w:type="dxa"/>
            <w:vAlign w:val="center"/>
          </w:tcPr>
          <w:p>
            <w:pPr>
              <w:spacing w:line="320" w:lineRule="exact"/>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926" w:type="dxa"/>
            <w:vAlign w:val="center"/>
          </w:tcPr>
          <w:p>
            <w:pPr>
              <w:spacing w:line="32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聘请专家预评审费用</w:t>
            </w:r>
          </w:p>
        </w:tc>
        <w:tc>
          <w:tcPr>
            <w:tcW w:w="7097" w:type="dxa"/>
            <w:vAlign w:val="center"/>
          </w:tcPr>
          <w:p>
            <w:pPr>
              <w:spacing w:line="320" w:lineRule="exact"/>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926" w:type="dxa"/>
            <w:vAlign w:val="center"/>
          </w:tcPr>
          <w:p>
            <w:pPr>
              <w:spacing w:line="32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合计</w:t>
            </w:r>
          </w:p>
        </w:tc>
        <w:tc>
          <w:tcPr>
            <w:tcW w:w="7097" w:type="dxa"/>
            <w:vAlign w:val="center"/>
          </w:tcPr>
          <w:p>
            <w:pPr>
              <w:spacing w:line="320" w:lineRule="exact"/>
              <w:rPr>
                <w:rFonts w:hint="eastAsia" w:ascii="宋体" w:hAnsi="宋体" w:eastAsia="宋体" w:cs="宋体"/>
                <w:b w:val="0"/>
                <w:bCs/>
                <w:color w:val="auto"/>
                <w:kern w:val="2"/>
                <w:sz w:val="24"/>
                <w:szCs w:val="24"/>
                <w:highlight w:val="none"/>
                <w:lang w:val="en-US" w:eastAsia="zh-CN" w:bidi="ar-SA"/>
              </w:rPr>
            </w:pPr>
          </w:p>
        </w:tc>
      </w:tr>
    </w:tbl>
    <w:p>
      <w:pPr>
        <w:widowControl/>
        <w:numPr>
          <w:ilvl w:val="0"/>
          <w:numId w:val="0"/>
        </w:numPr>
        <w:spacing w:after="40" w:line="520" w:lineRule="exact"/>
        <w:ind w:firstLine="420" w:firstLineChars="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以上服务合计小写（人民币）：</w:t>
      </w:r>
      <w:r>
        <w:rPr>
          <w:rFonts w:hint="eastAsia" w:ascii="仿宋" w:hAnsi="仿宋" w:eastAsia="仿宋" w:cs="仿宋"/>
          <w:b/>
          <w:bCs/>
          <w:color w:val="auto"/>
          <w:kern w:val="0"/>
          <w:sz w:val="32"/>
          <w:szCs w:val="32"/>
          <w:highlight w:val="none"/>
          <w:u w:val="single"/>
          <w:lang w:val="en-US" w:eastAsia="zh-CN"/>
        </w:rPr>
        <w:t xml:space="preserve">         </w:t>
      </w:r>
      <w:r>
        <w:rPr>
          <w:rFonts w:hint="eastAsia" w:ascii="仿宋" w:hAnsi="仿宋" w:eastAsia="仿宋" w:cs="仿宋"/>
          <w:b/>
          <w:bCs/>
          <w:color w:val="auto"/>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auto"/>
          <w:kern w:val="0"/>
          <w:sz w:val="32"/>
          <w:szCs w:val="32"/>
          <w:highlight w:val="none"/>
          <w:lang w:val="en-US" w:eastAsia="zh-CN"/>
        </w:rPr>
        <w:t xml:space="preserve">大写： </w:t>
      </w:r>
      <w:r>
        <w:rPr>
          <w:rFonts w:hint="eastAsia" w:ascii="仿宋" w:hAnsi="仿宋" w:eastAsia="仿宋" w:cs="仿宋"/>
          <w:b/>
          <w:bCs/>
          <w:color w:val="auto"/>
          <w:kern w:val="0"/>
          <w:sz w:val="32"/>
          <w:szCs w:val="32"/>
          <w:highlight w:val="none"/>
          <w:u w:val="single"/>
          <w:lang w:val="en-US" w:eastAsia="zh-CN"/>
        </w:rPr>
        <w:t xml:space="preserve">                </w:t>
      </w:r>
      <w:r>
        <w:rPr>
          <w:rFonts w:hint="eastAsia" w:ascii="仿宋" w:hAnsi="仿宋" w:eastAsia="仿宋" w:cs="仿宋"/>
          <w:b/>
          <w:bCs/>
          <w:color w:val="auto"/>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pStyle w:val="2"/>
        <w:rPr>
          <w:rFonts w:hint="eastAsia"/>
        </w:rPr>
      </w:pPr>
    </w:p>
    <w:p>
      <w:pPr>
        <w:widowControl/>
        <w:spacing w:after="40" w:line="520" w:lineRule="exact"/>
        <w:ind w:left="0" w:leftChars="0" w:firstLine="640" w:firstLineChars="200"/>
        <w:jc w:val="left"/>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w:t>
      </w:r>
      <w:r>
        <w:rPr>
          <w:rFonts w:hint="eastAsia" w:ascii="仿宋" w:hAnsi="仿宋" w:eastAsia="仿宋" w:cs="仿宋"/>
          <w:color w:val="000000"/>
          <w:kern w:val="0"/>
          <w:sz w:val="32"/>
          <w:szCs w:val="32"/>
          <w:highlight w:val="none"/>
          <w:lang w:val="en-US" w:eastAsia="zh-CN"/>
        </w:rPr>
        <w:t>单位</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28"/>
          <w:szCs w:val="28"/>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24"/>
          <w:szCs w:val="24"/>
          <w:highlight w:val="non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sectPr>
      <w:footerReference r:id="rId3" w:type="default"/>
      <w:pgSz w:w="11906" w:h="16838"/>
      <w:pgMar w:top="1440" w:right="1423" w:bottom="1440" w:left="1423"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DD19AE5D-7A0D-4DC1-B842-D4D6A22B1172}"/>
  </w:font>
  <w:font w:name="方正小标宋简体">
    <w:panose1 w:val="02000000000000000000"/>
    <w:charset w:val="86"/>
    <w:family w:val="script"/>
    <w:pitch w:val="default"/>
    <w:sig w:usb0="00000001" w:usb1="08000000" w:usb2="00000000" w:usb3="00000000" w:csb0="00040000" w:csb1="00000000"/>
    <w:embedRegular r:id="rId2" w:fontKey="{B534C98A-F4AA-4CF7-9F13-6BB446DC605E}"/>
  </w:font>
  <w:font w:name="仿宋_GB2312">
    <w:altName w:val="仿宋"/>
    <w:panose1 w:val="020B0604020202020204"/>
    <w:charset w:val="86"/>
    <w:family w:val="modern"/>
    <w:pitch w:val="default"/>
    <w:sig w:usb0="00000000" w:usb1="00000000" w:usb2="00000010" w:usb3="00000000" w:csb0="00040000" w:csb1="00000000"/>
    <w:embedRegular r:id="rId3" w:fontKey="{ECCF40AD-E965-4D54-AF9F-97ED3346F9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C91212"/>
    <w:rsid w:val="00D46C0F"/>
    <w:rsid w:val="011B4A05"/>
    <w:rsid w:val="032B5EB2"/>
    <w:rsid w:val="033D5573"/>
    <w:rsid w:val="03630182"/>
    <w:rsid w:val="05685549"/>
    <w:rsid w:val="058A17BB"/>
    <w:rsid w:val="05BE3D95"/>
    <w:rsid w:val="06054BA8"/>
    <w:rsid w:val="06C453DB"/>
    <w:rsid w:val="076B1CFB"/>
    <w:rsid w:val="0A4A0B6C"/>
    <w:rsid w:val="0BA31A63"/>
    <w:rsid w:val="0D0E115E"/>
    <w:rsid w:val="0D8244AF"/>
    <w:rsid w:val="0DD028B8"/>
    <w:rsid w:val="10125409"/>
    <w:rsid w:val="10D73F5D"/>
    <w:rsid w:val="10F16DCD"/>
    <w:rsid w:val="119A3BF0"/>
    <w:rsid w:val="12727658"/>
    <w:rsid w:val="13347445"/>
    <w:rsid w:val="13742D87"/>
    <w:rsid w:val="143C2A55"/>
    <w:rsid w:val="1525173B"/>
    <w:rsid w:val="15AD1E9F"/>
    <w:rsid w:val="16DB6AB7"/>
    <w:rsid w:val="1853036D"/>
    <w:rsid w:val="19677F5C"/>
    <w:rsid w:val="197D32B1"/>
    <w:rsid w:val="19DC5194"/>
    <w:rsid w:val="1A0F25EA"/>
    <w:rsid w:val="1AFA15B8"/>
    <w:rsid w:val="1B574618"/>
    <w:rsid w:val="1B575F18"/>
    <w:rsid w:val="1B761B63"/>
    <w:rsid w:val="1B833F1E"/>
    <w:rsid w:val="1C9A2A0F"/>
    <w:rsid w:val="1D634D10"/>
    <w:rsid w:val="1E501BAC"/>
    <w:rsid w:val="1EBB25E9"/>
    <w:rsid w:val="1EBF49AE"/>
    <w:rsid w:val="20ED16F0"/>
    <w:rsid w:val="213E5292"/>
    <w:rsid w:val="21F40DBA"/>
    <w:rsid w:val="22D622C7"/>
    <w:rsid w:val="238C3F6C"/>
    <w:rsid w:val="24092228"/>
    <w:rsid w:val="24366A12"/>
    <w:rsid w:val="248024EA"/>
    <w:rsid w:val="24F42ED8"/>
    <w:rsid w:val="251B0465"/>
    <w:rsid w:val="25622C13"/>
    <w:rsid w:val="25A22934"/>
    <w:rsid w:val="25B763DF"/>
    <w:rsid w:val="28506907"/>
    <w:rsid w:val="294066EC"/>
    <w:rsid w:val="299318C3"/>
    <w:rsid w:val="29EF720B"/>
    <w:rsid w:val="2A5266D7"/>
    <w:rsid w:val="2BAB1468"/>
    <w:rsid w:val="2BB7348E"/>
    <w:rsid w:val="2BCA6741"/>
    <w:rsid w:val="2C2045B2"/>
    <w:rsid w:val="2D653D1D"/>
    <w:rsid w:val="2DCF074F"/>
    <w:rsid w:val="2E314855"/>
    <w:rsid w:val="2EC4391B"/>
    <w:rsid w:val="2ECE6548"/>
    <w:rsid w:val="31880C30"/>
    <w:rsid w:val="320D55D9"/>
    <w:rsid w:val="3253123E"/>
    <w:rsid w:val="32C85024"/>
    <w:rsid w:val="37515F68"/>
    <w:rsid w:val="38CF2505"/>
    <w:rsid w:val="391962D8"/>
    <w:rsid w:val="3A3F654C"/>
    <w:rsid w:val="3A9C574C"/>
    <w:rsid w:val="3AD31F97"/>
    <w:rsid w:val="3AE570F3"/>
    <w:rsid w:val="3B6773DD"/>
    <w:rsid w:val="3BEE0229"/>
    <w:rsid w:val="3C4B53AE"/>
    <w:rsid w:val="3CD70CBD"/>
    <w:rsid w:val="3CDD2D8B"/>
    <w:rsid w:val="3D101E29"/>
    <w:rsid w:val="4101455B"/>
    <w:rsid w:val="4140131B"/>
    <w:rsid w:val="41E058D8"/>
    <w:rsid w:val="42D27B72"/>
    <w:rsid w:val="43B43B06"/>
    <w:rsid w:val="44354C47"/>
    <w:rsid w:val="44905925"/>
    <w:rsid w:val="44D87D0A"/>
    <w:rsid w:val="44E87F0C"/>
    <w:rsid w:val="44FF7003"/>
    <w:rsid w:val="45AC0C08"/>
    <w:rsid w:val="465A08B7"/>
    <w:rsid w:val="489F284C"/>
    <w:rsid w:val="48FB5D34"/>
    <w:rsid w:val="4A315EB1"/>
    <w:rsid w:val="4A484FA8"/>
    <w:rsid w:val="4AC115E9"/>
    <w:rsid w:val="4AD06B20"/>
    <w:rsid w:val="4BCF5981"/>
    <w:rsid w:val="4BD7315C"/>
    <w:rsid w:val="4C1E2465"/>
    <w:rsid w:val="4D4632E8"/>
    <w:rsid w:val="4DDA2DEA"/>
    <w:rsid w:val="4EAC5A33"/>
    <w:rsid w:val="4FF754A7"/>
    <w:rsid w:val="504F0E3F"/>
    <w:rsid w:val="505620F6"/>
    <w:rsid w:val="51071719"/>
    <w:rsid w:val="514972A3"/>
    <w:rsid w:val="5153670D"/>
    <w:rsid w:val="51E01319"/>
    <w:rsid w:val="52705E6E"/>
    <w:rsid w:val="528C3BCA"/>
    <w:rsid w:val="52DC6BD6"/>
    <w:rsid w:val="53DF2491"/>
    <w:rsid w:val="54040192"/>
    <w:rsid w:val="57CB7C1F"/>
    <w:rsid w:val="59347B4B"/>
    <w:rsid w:val="59771406"/>
    <w:rsid w:val="59926240"/>
    <w:rsid w:val="599B0531"/>
    <w:rsid w:val="5A3612C1"/>
    <w:rsid w:val="5AEA063D"/>
    <w:rsid w:val="5B127639"/>
    <w:rsid w:val="5B353327"/>
    <w:rsid w:val="5C1B28CA"/>
    <w:rsid w:val="5CA0548C"/>
    <w:rsid w:val="5E342842"/>
    <w:rsid w:val="5EEB267A"/>
    <w:rsid w:val="5F5A7717"/>
    <w:rsid w:val="612A04D2"/>
    <w:rsid w:val="612B3202"/>
    <w:rsid w:val="61CB22EF"/>
    <w:rsid w:val="62A578DC"/>
    <w:rsid w:val="643423CE"/>
    <w:rsid w:val="646709F5"/>
    <w:rsid w:val="64DB5A06"/>
    <w:rsid w:val="653B778C"/>
    <w:rsid w:val="65BA55F6"/>
    <w:rsid w:val="66996E60"/>
    <w:rsid w:val="66F649A5"/>
    <w:rsid w:val="67056612"/>
    <w:rsid w:val="676C00D0"/>
    <w:rsid w:val="68975621"/>
    <w:rsid w:val="68E0475F"/>
    <w:rsid w:val="6AA5355B"/>
    <w:rsid w:val="6C64581A"/>
    <w:rsid w:val="6C962CAE"/>
    <w:rsid w:val="6CCF5389"/>
    <w:rsid w:val="6DC912E5"/>
    <w:rsid w:val="6F235519"/>
    <w:rsid w:val="6FA84F12"/>
    <w:rsid w:val="6FC1105E"/>
    <w:rsid w:val="6FE81430"/>
    <w:rsid w:val="71FE1250"/>
    <w:rsid w:val="726D395F"/>
    <w:rsid w:val="73031511"/>
    <w:rsid w:val="73497518"/>
    <w:rsid w:val="73697BBA"/>
    <w:rsid w:val="73B54BAD"/>
    <w:rsid w:val="73C07662"/>
    <w:rsid w:val="73F63CEC"/>
    <w:rsid w:val="7412372B"/>
    <w:rsid w:val="75C87CBB"/>
    <w:rsid w:val="765C6C43"/>
    <w:rsid w:val="76860DE7"/>
    <w:rsid w:val="788C05D2"/>
    <w:rsid w:val="78B47B29"/>
    <w:rsid w:val="795B7FA5"/>
    <w:rsid w:val="7B713AB0"/>
    <w:rsid w:val="7B9F686F"/>
    <w:rsid w:val="7CB24380"/>
    <w:rsid w:val="7D2411AD"/>
    <w:rsid w:val="7D6A4C5A"/>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3"/>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6"/>
    <w:semiHidden/>
    <w:unhideWhenUsed/>
    <w:qFormat/>
    <w:uiPriority w:val="99"/>
    <w:pPr>
      <w:spacing w:after="120"/>
    </w:pPr>
  </w:style>
  <w:style w:type="paragraph" w:styleId="5">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7"/>
    <w:semiHidden/>
    <w:unhideWhenUsed/>
    <w:qFormat/>
    <w:uiPriority w:val="99"/>
    <w:pPr>
      <w:ind w:firstLine="420" w:firstLineChars="1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字符"/>
    <w:basedOn w:val="11"/>
    <w:link w:val="4"/>
    <w:qFormat/>
    <w:uiPriority w:val="0"/>
    <w:rPr>
      <w:rFonts w:ascii="Arial" w:hAnsi="Arial" w:eastAsia="宋体" w:cs="Times New Roman"/>
      <w:b/>
      <w:bCs/>
      <w:kern w:val="44"/>
      <w:sz w:val="36"/>
      <w:szCs w:val="36"/>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标题 字符"/>
    <w:basedOn w:val="11"/>
    <w:link w:val="5"/>
    <w:qFormat/>
    <w:uiPriority w:val="10"/>
    <w:rPr>
      <w:rFonts w:asciiTheme="majorHAnsi" w:hAnsiTheme="majorHAnsi" w:eastAsiaTheme="majorEastAsia" w:cstheme="majorBidi"/>
      <w:b/>
      <w:bCs/>
      <w:sz w:val="32"/>
      <w:szCs w:val="32"/>
    </w:rPr>
  </w:style>
  <w:style w:type="character" w:customStyle="1" w:styleId="16">
    <w:name w:val="正文文本 字符"/>
    <w:basedOn w:val="11"/>
    <w:link w:val="3"/>
    <w:semiHidden/>
    <w:qFormat/>
    <w:uiPriority w:val="99"/>
    <w:rPr>
      <w:rFonts w:ascii="Times New Roman" w:hAnsi="Times New Roman" w:eastAsia="宋体" w:cs="Times New Roman"/>
      <w:szCs w:val="20"/>
    </w:rPr>
  </w:style>
  <w:style w:type="character" w:customStyle="1" w:styleId="17">
    <w:name w:val="正文文本首行缩进 字符"/>
    <w:basedOn w:val="16"/>
    <w:link w:val="6"/>
    <w:semiHidden/>
    <w:qFormat/>
    <w:uiPriority w:val="99"/>
    <w:rPr>
      <w:rFonts w:ascii="Times New Roman" w:hAnsi="Times New Roman" w:eastAsia="宋体" w:cs="Times New Roman"/>
      <w:szCs w:val="20"/>
    </w:rPr>
  </w:style>
  <w:style w:type="character" w:customStyle="1" w:styleId="18">
    <w:name w:val="font11"/>
    <w:basedOn w:val="11"/>
    <w:qFormat/>
    <w:uiPriority w:val="0"/>
    <w:rPr>
      <w:rFonts w:hint="eastAsia" w:ascii="仿宋" w:hAnsi="仿宋" w:eastAsia="仿宋" w:cs="仿宋"/>
      <w:color w:val="000000"/>
      <w:sz w:val="22"/>
      <w:szCs w:val="22"/>
      <w:u w:val="none"/>
    </w:rPr>
  </w:style>
  <w:style w:type="character" w:customStyle="1" w:styleId="19">
    <w:name w:val="font41"/>
    <w:basedOn w:val="1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1258</Words>
  <Characters>1365</Characters>
  <Lines>11</Lines>
  <Paragraphs>3</Paragraphs>
  <TotalTime>4</TotalTime>
  <ScaleCrop>false</ScaleCrop>
  <LinksUpToDate>false</LinksUpToDate>
  <CharactersWithSpaces>1592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笑嘻嘻</cp:lastModifiedBy>
  <cp:lastPrinted>2022-11-07T01:51:00Z</cp:lastPrinted>
  <dcterms:modified xsi:type="dcterms:W3CDTF">2023-10-12T02:25:42Z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226D6F4EB1DE43ADBCFC31A9C3638FD0_13</vt:lpwstr>
  </property>
</Properties>
</file>